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13" w:rsidRPr="00FD6D21" w:rsidRDefault="00DF3B40" w:rsidP="00DF3B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D21">
        <w:rPr>
          <w:rFonts w:ascii="Times New Roman" w:hAnsi="Times New Roman" w:cs="Times New Roman"/>
          <w:b/>
          <w:sz w:val="28"/>
          <w:szCs w:val="28"/>
        </w:rPr>
        <w:t>Common Drugs and Antidotes</w:t>
      </w:r>
    </w:p>
    <w:tbl>
      <w:tblPr>
        <w:tblStyle w:val="LightList-Accent3"/>
        <w:tblW w:w="18918" w:type="dxa"/>
        <w:jc w:val="center"/>
        <w:tblLook w:val="06A0"/>
      </w:tblPr>
      <w:tblGrid>
        <w:gridCol w:w="3783"/>
        <w:gridCol w:w="3784"/>
        <w:gridCol w:w="3783"/>
        <w:gridCol w:w="3784"/>
        <w:gridCol w:w="3784"/>
      </w:tblGrid>
      <w:tr w:rsidR="002C2595" w:rsidRPr="00FD6D21" w:rsidTr="009E660E">
        <w:trPr>
          <w:cnfStyle w:val="100000000000"/>
          <w:trHeight w:val="1611"/>
          <w:jc w:val="center"/>
        </w:trPr>
        <w:tc>
          <w:tcPr>
            <w:cnfStyle w:val="001000000000"/>
            <w:tcW w:w="3783" w:type="dxa"/>
            <w:tcBorders>
              <w:bottom w:val="nil"/>
            </w:tcBorders>
            <w:vAlign w:val="center"/>
          </w:tcPr>
          <w:p w:rsidR="002C2595" w:rsidRPr="00FD6D21" w:rsidRDefault="002C2595" w:rsidP="009E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Antidote</w:t>
            </w:r>
          </w:p>
        </w:tc>
        <w:tc>
          <w:tcPr>
            <w:tcW w:w="3784" w:type="dxa"/>
            <w:tcBorders>
              <w:bottom w:val="nil"/>
            </w:tcBorders>
            <w:vAlign w:val="center"/>
          </w:tcPr>
          <w:p w:rsidR="002C2595" w:rsidRPr="00FD6D21" w:rsidRDefault="002C2595" w:rsidP="009E660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Indication</w:t>
            </w:r>
          </w:p>
        </w:tc>
        <w:tc>
          <w:tcPr>
            <w:tcW w:w="3783" w:type="dxa"/>
            <w:tcBorders>
              <w:bottom w:val="nil"/>
            </w:tcBorders>
            <w:vAlign w:val="center"/>
          </w:tcPr>
          <w:p w:rsidR="002C2595" w:rsidRPr="00FD6D21" w:rsidRDefault="002C2595" w:rsidP="009E660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Mode of action</w:t>
            </w:r>
          </w:p>
        </w:tc>
        <w:tc>
          <w:tcPr>
            <w:tcW w:w="3784" w:type="dxa"/>
            <w:tcBorders>
              <w:bottom w:val="nil"/>
            </w:tcBorders>
            <w:vAlign w:val="center"/>
          </w:tcPr>
          <w:p w:rsidR="002C2595" w:rsidRPr="00FD6D21" w:rsidRDefault="002C2595" w:rsidP="009E660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Contraindication</w:t>
            </w:r>
          </w:p>
        </w:tc>
        <w:tc>
          <w:tcPr>
            <w:tcW w:w="3784" w:type="dxa"/>
            <w:tcBorders>
              <w:bottom w:val="nil"/>
            </w:tcBorders>
            <w:vAlign w:val="center"/>
          </w:tcPr>
          <w:p w:rsidR="002C2595" w:rsidRPr="00FD6D21" w:rsidRDefault="002C2595" w:rsidP="009E660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EMS consideration</w:t>
            </w:r>
          </w:p>
        </w:tc>
      </w:tr>
      <w:tr w:rsidR="002C2595" w:rsidRPr="00FD6D21" w:rsidTr="009E660E">
        <w:trPr>
          <w:trHeight w:val="1611"/>
          <w:jc w:val="center"/>
        </w:trPr>
        <w:tc>
          <w:tcPr>
            <w:cnfStyle w:val="001000000000"/>
            <w:tcW w:w="37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C2595" w:rsidRPr="00FD6D21" w:rsidRDefault="002C2595" w:rsidP="009E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cetylcysteine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Mucomyst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Acetaminophen/ Tylenol/ </w:t>
            </w: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Paracetamol</w:t>
            </w:r>
            <w:proofErr w:type="spellEnd"/>
          </w:p>
        </w:tc>
        <w:tc>
          <w:tcPr>
            <w:tcW w:w="37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Restores depleted glutathione stores and protects against renal and hepatic failure.</w:t>
            </w:r>
          </w:p>
        </w:tc>
        <w:tc>
          <w:tcPr>
            <w:tcW w:w="37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Known hypersensitivity</w:t>
            </w:r>
          </w:p>
        </w:tc>
        <w:tc>
          <w:tcPr>
            <w:tcW w:w="37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The odor of solution is very unpleasant. Be prepared for vomiting. </w:t>
            </w: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Acetylcysteine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 increases secretions. Monitor respiratory status.</w:t>
            </w:r>
          </w:p>
        </w:tc>
      </w:tr>
      <w:tr w:rsidR="002C2595" w:rsidRPr="00FD6D21" w:rsidTr="009E660E">
        <w:trPr>
          <w:trHeight w:val="1611"/>
          <w:jc w:val="center"/>
        </w:trPr>
        <w:tc>
          <w:tcPr>
            <w:cnfStyle w:val="001000000000"/>
            <w:tcW w:w="3783" w:type="dxa"/>
            <w:tcBorders>
              <w:top w:val="nil"/>
            </w:tcBorders>
            <w:vAlign w:val="center"/>
          </w:tcPr>
          <w:p w:rsidR="002C2595" w:rsidRPr="00FD6D21" w:rsidRDefault="002C2595" w:rsidP="009E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Activated charcoal</w:t>
            </w:r>
          </w:p>
        </w:tc>
        <w:tc>
          <w:tcPr>
            <w:tcW w:w="3784" w:type="dxa"/>
            <w:tcBorders>
              <w:top w:val="nil"/>
            </w:tcBorders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Non-specific poisons except cyanide, iron, lithium, caustics and alcohol</w:t>
            </w:r>
          </w:p>
        </w:tc>
        <w:tc>
          <w:tcPr>
            <w:tcW w:w="3783" w:type="dxa"/>
            <w:tcBorders>
              <w:top w:val="nil"/>
            </w:tcBorders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Absorption of drug in the gastric and intestinal tracts. Interrupts the </w:t>
            </w: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entero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-hepatic cycle with multiple </w:t>
            </w:r>
            <w:proofErr w:type="gram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dose</w:t>
            </w:r>
            <w:proofErr w:type="gram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4" w:type="dxa"/>
            <w:tcBorders>
              <w:top w:val="nil"/>
            </w:tcBorders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Known hypersensitivity.  Activated charcoal is contraindicated in patients who do not have an intact or protected airway. Otherwise, There are not known contraindications.</w:t>
            </w:r>
          </w:p>
        </w:tc>
        <w:tc>
          <w:tcPr>
            <w:tcW w:w="3784" w:type="dxa"/>
            <w:tcBorders>
              <w:top w:val="nil"/>
            </w:tcBorders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Activated charcoal binds with syrup of ipecac, rendering it ineffective.</w:t>
            </w:r>
          </w:p>
        </w:tc>
      </w:tr>
      <w:tr w:rsidR="002C2595" w:rsidRPr="00FD6D21" w:rsidTr="009E660E">
        <w:trPr>
          <w:trHeight w:val="1611"/>
          <w:jc w:val="center"/>
        </w:trPr>
        <w:tc>
          <w:tcPr>
            <w:cnfStyle w:val="001000000000"/>
            <w:tcW w:w="3783" w:type="dxa"/>
            <w:vAlign w:val="center"/>
          </w:tcPr>
          <w:p w:rsidR="002C2595" w:rsidRPr="00FD6D21" w:rsidRDefault="002C2595" w:rsidP="009E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Amyl nitrite</w:t>
            </w:r>
          </w:p>
        </w:tc>
        <w:tc>
          <w:tcPr>
            <w:tcW w:w="3784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Cyanide poisoning</w:t>
            </w:r>
          </w:p>
        </w:tc>
        <w:tc>
          <w:tcPr>
            <w:tcW w:w="3783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Amyl nitrite promotes formation of </w:t>
            </w: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methemoglobin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, which combines with cyanide to form nontoxic </w:t>
            </w: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cyanmethemoglobin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4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Otherwise, There are not known contraindications for cyanide poisoning.</w:t>
            </w:r>
          </w:p>
        </w:tc>
        <w:tc>
          <w:tcPr>
            <w:tcW w:w="3784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Access vital signs frequently. Amyl nitrite is the first step in a three-step treatment protocol for cyanide poisoning. After the administration of amyl nitrite, administer sodium nitrite, followed by sodium </w:t>
            </w: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thiosulfate</w:t>
            </w:r>
            <w:proofErr w:type="spellEnd"/>
          </w:p>
        </w:tc>
      </w:tr>
      <w:tr w:rsidR="002C2595" w:rsidRPr="00FD6D21" w:rsidTr="009E660E">
        <w:trPr>
          <w:trHeight w:val="1611"/>
          <w:jc w:val="center"/>
        </w:trPr>
        <w:tc>
          <w:tcPr>
            <w:cnfStyle w:val="001000000000"/>
            <w:tcW w:w="3783" w:type="dxa"/>
            <w:vAlign w:val="center"/>
          </w:tcPr>
          <w:p w:rsidR="002C2595" w:rsidRPr="00FD6D21" w:rsidRDefault="002C2595" w:rsidP="009E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aloxone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Narcan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84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Opioid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 analgesics</w:t>
            </w:r>
          </w:p>
        </w:tc>
        <w:tc>
          <w:tcPr>
            <w:tcW w:w="3783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Prevents or reverses the effects of </w:t>
            </w: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opioids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 including respiratory depression, sedation and hypotension.</w:t>
            </w:r>
          </w:p>
        </w:tc>
        <w:tc>
          <w:tcPr>
            <w:tcW w:w="3784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Known hypersensitivity.</w:t>
            </w:r>
          </w:p>
        </w:tc>
        <w:tc>
          <w:tcPr>
            <w:tcW w:w="3784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The duration of action of </w:t>
            </w: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naloxone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 is shorter than that of narcotics. </w:t>
            </w: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Therfore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, repeat dose of </w:t>
            </w: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naloxone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 may be necessary. Monitor vital signs and ECG continuously.</w:t>
            </w:r>
          </w:p>
        </w:tc>
      </w:tr>
      <w:tr w:rsidR="002C2595" w:rsidRPr="00FD6D21" w:rsidTr="009E660E">
        <w:trPr>
          <w:trHeight w:val="1611"/>
          <w:jc w:val="center"/>
        </w:trPr>
        <w:tc>
          <w:tcPr>
            <w:cnfStyle w:val="001000000000"/>
            <w:tcW w:w="3783" w:type="dxa"/>
            <w:vAlign w:val="center"/>
          </w:tcPr>
          <w:p w:rsidR="002C2595" w:rsidRPr="00FD6D21" w:rsidRDefault="002C2595" w:rsidP="009E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Hydroxocobalamin</w:t>
            </w:r>
            <w:proofErr w:type="spellEnd"/>
          </w:p>
        </w:tc>
        <w:tc>
          <w:tcPr>
            <w:tcW w:w="3784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Cyanide</w:t>
            </w:r>
          </w:p>
        </w:tc>
        <w:tc>
          <w:tcPr>
            <w:tcW w:w="3783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Forms </w:t>
            </w: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cyanocobalamin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, a non-toxic metabolite that is easily excreted through the kidneys.</w:t>
            </w:r>
          </w:p>
        </w:tc>
        <w:tc>
          <w:tcPr>
            <w:tcW w:w="3784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Known hypersensitivity. Use with caution in patients with kidney dysfunction.</w:t>
            </w:r>
          </w:p>
        </w:tc>
        <w:tc>
          <w:tcPr>
            <w:tcW w:w="3784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If any other drugs are administrated, they should be given through a separate IV line.</w:t>
            </w:r>
          </w:p>
        </w:tc>
      </w:tr>
      <w:tr w:rsidR="002C2595" w:rsidRPr="00FD6D21" w:rsidTr="009E660E">
        <w:trPr>
          <w:trHeight w:val="1611"/>
          <w:jc w:val="center"/>
        </w:trPr>
        <w:tc>
          <w:tcPr>
            <w:cnfStyle w:val="001000000000"/>
            <w:tcW w:w="3783" w:type="dxa"/>
            <w:vAlign w:val="center"/>
          </w:tcPr>
          <w:p w:rsidR="002C2595" w:rsidRPr="00FD6D21" w:rsidRDefault="002C2595" w:rsidP="009E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hentolamine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Regitine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84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Dopamine</w:t>
            </w:r>
          </w:p>
        </w:tc>
        <w:tc>
          <w:tcPr>
            <w:tcW w:w="3783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Regitine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 produces an alpha-adrenergic block of relatively short duration. It also has direct, but less marked, positive </w:t>
            </w: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inotropic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chronotropic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 effects on cardiac muscle and vasodilator effects on vascular smooth muscle.</w:t>
            </w:r>
          </w:p>
        </w:tc>
        <w:tc>
          <w:tcPr>
            <w:tcW w:w="3784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Known hypersensitivity, should not be given to patients with coronary or cerebral arteriosclerosis, or to the patients with kidney impairment.</w:t>
            </w:r>
          </w:p>
        </w:tc>
        <w:tc>
          <w:tcPr>
            <w:tcW w:w="3784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Monitor BP, Pulse, and ECG frequently until patient is stable.</w:t>
            </w:r>
          </w:p>
        </w:tc>
      </w:tr>
      <w:tr w:rsidR="002C2595" w:rsidRPr="00FD6D21" w:rsidTr="009E660E">
        <w:trPr>
          <w:trHeight w:val="1611"/>
          <w:jc w:val="center"/>
        </w:trPr>
        <w:tc>
          <w:tcPr>
            <w:cnfStyle w:val="001000000000"/>
            <w:tcW w:w="3783" w:type="dxa"/>
            <w:vAlign w:val="center"/>
          </w:tcPr>
          <w:p w:rsidR="002C2595" w:rsidRPr="00FD6D21" w:rsidRDefault="002C2595" w:rsidP="009E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</w:t>
            </w: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ralidoxime</w:t>
            </w:r>
            <w:proofErr w:type="spellEnd"/>
          </w:p>
        </w:tc>
        <w:tc>
          <w:tcPr>
            <w:tcW w:w="3784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Organophosphate poisoning, </w:t>
            </w: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anticholinesterase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 inhibitor</w:t>
            </w:r>
          </w:p>
        </w:tc>
        <w:tc>
          <w:tcPr>
            <w:tcW w:w="3783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Competitive inhibition of </w:t>
            </w: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muscarinic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 receptors.</w:t>
            </w:r>
          </w:p>
        </w:tc>
        <w:tc>
          <w:tcPr>
            <w:tcW w:w="3784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Known hypersensitivity, should not be given to patients who have been positioned by inorganic phosphate.</w:t>
            </w:r>
          </w:p>
        </w:tc>
        <w:tc>
          <w:tcPr>
            <w:tcW w:w="3784" w:type="dxa"/>
            <w:vAlign w:val="center"/>
          </w:tcPr>
          <w:p w:rsidR="002C2595" w:rsidRPr="00FD6D21" w:rsidRDefault="002C2595" w:rsidP="009E660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1">
              <w:rPr>
                <w:rFonts w:ascii="Times New Roman" w:hAnsi="Times New Roman" w:cs="Times New Roman"/>
                <w:sz w:val="28"/>
                <w:szCs w:val="28"/>
              </w:rPr>
              <w:t xml:space="preserve">Draw a blood sample before drug administration.  Rapid administration may cause tachycardia, </w:t>
            </w:r>
            <w:proofErr w:type="spellStart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laryngospasm</w:t>
            </w:r>
            <w:proofErr w:type="spellEnd"/>
            <w:r w:rsidRPr="00FD6D21">
              <w:rPr>
                <w:rFonts w:ascii="Times New Roman" w:hAnsi="Times New Roman" w:cs="Times New Roman"/>
                <w:sz w:val="28"/>
                <w:szCs w:val="28"/>
              </w:rPr>
              <w:t>, or muscle rigidity.</w:t>
            </w:r>
          </w:p>
        </w:tc>
      </w:tr>
    </w:tbl>
    <w:p w:rsidR="00DF3B40" w:rsidRPr="00FD6D21" w:rsidRDefault="00DF3B40" w:rsidP="009F37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3B40" w:rsidRDefault="002C2595" w:rsidP="002C25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Downloaded via: </w:t>
      </w:r>
      <w:hyperlink r:id="rId5" w:history="1">
        <w:r w:rsidRPr="002C2595">
          <w:rPr>
            <w:rStyle w:val="Hyperlink"/>
            <w:rFonts w:ascii="Times New Roman" w:hAnsi="Times New Roman" w:cs="Times New Roman"/>
            <w:sz w:val="28"/>
            <w:szCs w:val="28"/>
          </w:rPr>
          <w:t>http://www.studypk.com/articles/list-common-drugs-antidotes-ems-know/</w:t>
        </w:r>
      </w:hyperlink>
    </w:p>
    <w:p w:rsidR="00D60B1A" w:rsidRPr="00FD6D21" w:rsidRDefault="00D60B1A" w:rsidP="009F37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60B1A" w:rsidRPr="00FD6D21" w:rsidSect="00F23E8A">
      <w:pgSz w:w="23814" w:h="16839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91FA0"/>
    <w:rsid w:val="00002963"/>
    <w:rsid w:val="00164883"/>
    <w:rsid w:val="001832E6"/>
    <w:rsid w:val="001E5EFA"/>
    <w:rsid w:val="00211A54"/>
    <w:rsid w:val="002C2595"/>
    <w:rsid w:val="002C704C"/>
    <w:rsid w:val="002F7B62"/>
    <w:rsid w:val="00370FDC"/>
    <w:rsid w:val="003917AB"/>
    <w:rsid w:val="0039571C"/>
    <w:rsid w:val="0039778A"/>
    <w:rsid w:val="003D446C"/>
    <w:rsid w:val="00481EEA"/>
    <w:rsid w:val="004C5CBF"/>
    <w:rsid w:val="004D4ECE"/>
    <w:rsid w:val="005200C0"/>
    <w:rsid w:val="00591FA0"/>
    <w:rsid w:val="00630321"/>
    <w:rsid w:val="00673C78"/>
    <w:rsid w:val="006C2FCA"/>
    <w:rsid w:val="00771761"/>
    <w:rsid w:val="00773707"/>
    <w:rsid w:val="00805E45"/>
    <w:rsid w:val="008719D7"/>
    <w:rsid w:val="008A6C06"/>
    <w:rsid w:val="008B7E02"/>
    <w:rsid w:val="00995591"/>
    <w:rsid w:val="009C6B39"/>
    <w:rsid w:val="009D60E5"/>
    <w:rsid w:val="009F3751"/>
    <w:rsid w:val="00AC0B7D"/>
    <w:rsid w:val="00B16B63"/>
    <w:rsid w:val="00B54830"/>
    <w:rsid w:val="00B56AA1"/>
    <w:rsid w:val="00B76C05"/>
    <w:rsid w:val="00B80203"/>
    <w:rsid w:val="00B94F2C"/>
    <w:rsid w:val="00C24F5F"/>
    <w:rsid w:val="00C92063"/>
    <w:rsid w:val="00D60096"/>
    <w:rsid w:val="00D60B1A"/>
    <w:rsid w:val="00DF3B40"/>
    <w:rsid w:val="00E45F13"/>
    <w:rsid w:val="00E94A45"/>
    <w:rsid w:val="00F23E8A"/>
    <w:rsid w:val="00F6283B"/>
    <w:rsid w:val="00F93620"/>
    <w:rsid w:val="00FD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">
    <w:name w:val="Light Shading"/>
    <w:basedOn w:val="TableNormal"/>
    <w:uiPriority w:val="60"/>
    <w:rsid w:val="000029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">
    <w:name w:val="Light Shading Accent 1"/>
    <w:basedOn w:val="TableNormal"/>
    <w:uiPriority w:val="60"/>
    <w:rsid w:val="000029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0296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00296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00296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D60B1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4">
    <w:name w:val="Light List Accent 4"/>
    <w:basedOn w:val="TableNormal"/>
    <w:uiPriority w:val="61"/>
    <w:rsid w:val="00D60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">
    <w:name w:val="Light List"/>
    <w:basedOn w:val="TableNormal"/>
    <w:uiPriority w:val="61"/>
    <w:rsid w:val="00D60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">
    <w:name w:val="Light List Accent 1"/>
    <w:basedOn w:val="TableNormal"/>
    <w:uiPriority w:val="61"/>
    <w:rsid w:val="00D60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D60B1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MediumGrid1">
    <w:name w:val="Medium Grid 1"/>
    <w:basedOn w:val="TableNormal"/>
    <w:uiPriority w:val="67"/>
    <w:rsid w:val="00D60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2">
    <w:name w:val="Medium Grid 1 Accent 2"/>
    <w:basedOn w:val="TableNormal"/>
    <w:uiPriority w:val="67"/>
    <w:rsid w:val="00D60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List-Accent3">
    <w:name w:val="Colorful List Accent 3"/>
    <w:basedOn w:val="TableNormal"/>
    <w:uiPriority w:val="72"/>
    <w:rsid w:val="00211A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5">
    <w:name w:val="Colorful List Accent 5"/>
    <w:basedOn w:val="TableNormal"/>
    <w:uiPriority w:val="72"/>
    <w:rsid w:val="00211A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Grid-Accent5">
    <w:name w:val="Colorful Grid Accent 5"/>
    <w:basedOn w:val="TableNormal"/>
    <w:uiPriority w:val="73"/>
    <w:rsid w:val="00211A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List-Accent4">
    <w:name w:val="Colorful List Accent 4"/>
    <w:basedOn w:val="TableNormal"/>
    <w:uiPriority w:val="72"/>
    <w:rsid w:val="00211A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">
    <w:name w:val="Colorful List"/>
    <w:basedOn w:val="TableNormal"/>
    <w:uiPriority w:val="72"/>
    <w:rsid w:val="00211A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-Accent5">
    <w:name w:val="Colorful Shading Accent 5"/>
    <w:basedOn w:val="TableNormal"/>
    <w:uiPriority w:val="71"/>
    <w:rsid w:val="00211A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20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5">
    <w:name w:val="Dark List Accent 5"/>
    <w:basedOn w:val="TableNormal"/>
    <w:uiPriority w:val="70"/>
    <w:rsid w:val="005200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4">
    <w:name w:val="Dark List Accent 4"/>
    <w:basedOn w:val="TableNormal"/>
    <w:uiPriority w:val="70"/>
    <w:rsid w:val="005200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3">
    <w:name w:val="Dark List Accent 3"/>
    <w:basedOn w:val="TableNormal"/>
    <w:uiPriority w:val="70"/>
    <w:rsid w:val="005200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ediumGrid3-Accent6">
    <w:name w:val="Medium Grid 3 Accent 6"/>
    <w:basedOn w:val="TableNormal"/>
    <w:uiPriority w:val="69"/>
    <w:rsid w:val="00520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5">
    <w:name w:val="Medium Grid 3 Accent 5"/>
    <w:basedOn w:val="TableNormal"/>
    <w:uiPriority w:val="69"/>
    <w:rsid w:val="00520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">
    <w:name w:val="Medium Grid 3 Accent 4"/>
    <w:basedOn w:val="TableNormal"/>
    <w:uiPriority w:val="69"/>
    <w:rsid w:val="00520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2-Accent6">
    <w:name w:val="Medium Grid 2 Accent 6"/>
    <w:basedOn w:val="TableNormal"/>
    <w:uiPriority w:val="68"/>
    <w:rsid w:val="005200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5">
    <w:name w:val="Medium Grid 1 Accent 5"/>
    <w:basedOn w:val="TableNormal"/>
    <w:uiPriority w:val="67"/>
    <w:rsid w:val="00481E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List-Accent3">
    <w:name w:val="Light List Accent 3"/>
    <w:basedOn w:val="TableNormal"/>
    <w:uiPriority w:val="61"/>
    <w:rsid w:val="00391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C25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tudypk.com/articles/list-common-drugs-antidotes-ems-kn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28D53-A96F-482F-A7AC-33936228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Rana</cp:lastModifiedBy>
  <cp:revision>73</cp:revision>
  <dcterms:created xsi:type="dcterms:W3CDTF">2016-03-13T10:21:00Z</dcterms:created>
  <dcterms:modified xsi:type="dcterms:W3CDTF">2016-03-13T12:35:00Z</dcterms:modified>
</cp:coreProperties>
</file>